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CB" w:rsidRPr="00151E92" w:rsidRDefault="0028221D" w:rsidP="00C663CB">
      <w:pPr>
        <w:ind w:left="4956"/>
        <w:jc w:val="right"/>
        <w:rPr>
          <w:rFonts w:ascii="Arial Narrow" w:hAnsi="Arial Narrow" w:cs="Times New Roman"/>
        </w:rPr>
      </w:pPr>
      <w:r w:rsidRPr="00151E92">
        <w:rPr>
          <w:rFonts w:ascii="Arial Narrow" w:hAnsi="Arial Narrow" w:cs="Times New Roman"/>
        </w:rPr>
        <w:t>Włocławek, dnia 21</w:t>
      </w:r>
      <w:r w:rsidR="00C663CB" w:rsidRPr="00151E92">
        <w:rPr>
          <w:rFonts w:ascii="Arial Narrow" w:hAnsi="Arial Narrow" w:cs="Times New Roman"/>
        </w:rPr>
        <w:t xml:space="preserve"> </w:t>
      </w:r>
      <w:r w:rsidRPr="00151E92">
        <w:rPr>
          <w:rFonts w:ascii="Arial Narrow" w:hAnsi="Arial Narrow" w:cs="Times New Roman"/>
        </w:rPr>
        <w:t>maja</w:t>
      </w:r>
      <w:r w:rsidR="00C663CB" w:rsidRPr="00151E92">
        <w:rPr>
          <w:rFonts w:ascii="Arial Narrow" w:hAnsi="Arial Narrow" w:cs="Times New Roman"/>
        </w:rPr>
        <w:t xml:space="preserve"> 2021 r.</w:t>
      </w:r>
    </w:p>
    <w:p w:rsidR="00C663CB" w:rsidRPr="00151E92" w:rsidRDefault="00C663CB" w:rsidP="00C663CB">
      <w:pPr>
        <w:rPr>
          <w:rFonts w:ascii="Arial Narrow" w:hAnsi="Arial Narrow" w:cs="Times New Roman"/>
        </w:rPr>
      </w:pPr>
    </w:p>
    <w:p w:rsidR="0028221D" w:rsidRPr="00151E92" w:rsidRDefault="0028221D" w:rsidP="0028221D">
      <w:pPr>
        <w:widowControl/>
        <w:suppressAutoHyphens w:val="0"/>
        <w:spacing w:after="240" w:line="360" w:lineRule="auto"/>
        <w:rPr>
          <w:rFonts w:ascii="Arial Narrow" w:hAnsi="Arial Narrow" w:cs="Times New Roman"/>
        </w:rPr>
      </w:pPr>
      <w:bookmarkStart w:id="0" w:name="_GoBack"/>
      <w:bookmarkEnd w:id="0"/>
    </w:p>
    <w:p w:rsidR="0028221D" w:rsidRPr="00151E92" w:rsidRDefault="0028221D" w:rsidP="0028221D">
      <w:pPr>
        <w:widowControl/>
        <w:suppressAutoHyphens w:val="0"/>
        <w:spacing w:after="240" w:line="360" w:lineRule="auto"/>
        <w:rPr>
          <w:rFonts w:ascii="Arial Narrow" w:eastAsia="Times New Roman" w:hAnsi="Arial Narrow" w:cs="Times New Roman"/>
          <w:b/>
          <w:spacing w:val="-4"/>
          <w:kern w:val="24"/>
          <w:lang w:eastAsia="pl-PL" w:bidi="ar-SA"/>
        </w:rPr>
      </w:pPr>
      <w:r w:rsidRPr="00151E92">
        <w:rPr>
          <w:rFonts w:ascii="Arial Narrow" w:eastAsia="Times New Roman" w:hAnsi="Arial Narrow" w:cs="Times New Roman"/>
          <w:b/>
          <w:spacing w:val="-4"/>
          <w:kern w:val="0"/>
          <w:lang w:eastAsia="en-US" w:bidi="ar-SA"/>
        </w:rPr>
        <w:t>Znak postępowania: ZP.DZP.2.2021</w:t>
      </w:r>
    </w:p>
    <w:p w:rsidR="00C663CB" w:rsidRPr="00151E92" w:rsidRDefault="00C663CB" w:rsidP="00C663CB">
      <w:pPr>
        <w:ind w:left="4956" w:firstLine="708"/>
        <w:jc w:val="right"/>
        <w:rPr>
          <w:rFonts w:ascii="Arial Narrow" w:eastAsia="Times New Roman" w:hAnsi="Arial Narrow" w:cs="Times New Roman"/>
          <w:b/>
          <w:bCs/>
          <w:spacing w:val="-4"/>
          <w:kern w:val="24"/>
          <w:lang w:eastAsia="pl-PL"/>
        </w:rPr>
      </w:pPr>
    </w:p>
    <w:p w:rsidR="00C663CB" w:rsidRPr="00151E92" w:rsidRDefault="00C663CB" w:rsidP="00C663CB">
      <w:pPr>
        <w:spacing w:after="360"/>
        <w:ind w:left="4956" w:firstLine="709"/>
        <w:jc w:val="right"/>
        <w:rPr>
          <w:rFonts w:ascii="Arial Narrow" w:eastAsia="Times New Roman" w:hAnsi="Arial Narrow" w:cs="Times New Roman"/>
          <w:b/>
          <w:bCs/>
          <w:spacing w:val="-4"/>
          <w:kern w:val="24"/>
          <w:lang w:eastAsia="pl-PL"/>
        </w:rPr>
      </w:pPr>
      <w:r w:rsidRPr="00151E92">
        <w:rPr>
          <w:rFonts w:ascii="Arial Narrow" w:eastAsia="Times New Roman" w:hAnsi="Arial Narrow" w:cs="Times New Roman"/>
          <w:b/>
          <w:bCs/>
          <w:spacing w:val="-4"/>
          <w:kern w:val="24"/>
          <w:lang w:eastAsia="pl-PL"/>
        </w:rPr>
        <w:t>Do wszystkich Wykonawców</w:t>
      </w:r>
    </w:p>
    <w:p w:rsidR="00C663CB" w:rsidRPr="00151E92" w:rsidRDefault="00C663CB" w:rsidP="00C663CB">
      <w:pPr>
        <w:spacing w:after="360"/>
        <w:jc w:val="center"/>
        <w:rPr>
          <w:rFonts w:ascii="Arial Narrow" w:eastAsia="Times New Roman" w:hAnsi="Arial Narrow" w:cs="Times New Roman"/>
          <w:b/>
          <w:bCs/>
          <w:spacing w:val="-4"/>
          <w:kern w:val="24"/>
          <w:lang w:eastAsia="pl-PL"/>
        </w:rPr>
      </w:pPr>
      <w:r w:rsidRPr="00151E92">
        <w:rPr>
          <w:rFonts w:ascii="Arial Narrow" w:eastAsia="Times New Roman" w:hAnsi="Arial Narrow" w:cs="Times New Roman"/>
          <w:b/>
          <w:bCs/>
          <w:spacing w:val="-4"/>
          <w:kern w:val="24"/>
          <w:lang w:eastAsia="pl-PL"/>
        </w:rPr>
        <w:t>WYJAŚNIENIE TREŚCI SWZ</w:t>
      </w:r>
    </w:p>
    <w:p w:rsidR="0028221D" w:rsidRPr="00151E92" w:rsidRDefault="00C663CB" w:rsidP="0028221D">
      <w:pPr>
        <w:autoSpaceDE w:val="0"/>
        <w:autoSpaceDN w:val="0"/>
        <w:adjustRightInd w:val="0"/>
        <w:spacing w:after="240" w:line="360" w:lineRule="auto"/>
        <w:jc w:val="both"/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b/>
          <w:bCs/>
          <w:spacing w:val="-4"/>
          <w:kern w:val="24"/>
          <w:lang w:eastAsia="pl-PL"/>
        </w:rPr>
        <w:t xml:space="preserve">Dotyczy postępowania na zadanie: </w:t>
      </w:r>
      <w:r w:rsidR="0028221D" w:rsidRPr="00151E92">
        <w:rPr>
          <w:rFonts w:ascii="Arial Narrow" w:eastAsia="Times New Roman" w:hAnsi="Arial Narrow" w:cs="Times New Roman"/>
          <w:b/>
          <w:color w:val="000000"/>
          <w:kern w:val="0"/>
          <w:lang w:eastAsia="pl-PL" w:bidi="ar-SA"/>
        </w:rPr>
        <w:t>„Modernizacja budynków Ośrodka i terenów należących do OSiR-u” – z podziałem na 2 części.</w:t>
      </w:r>
    </w:p>
    <w:p w:rsidR="0028221D" w:rsidRPr="00151E92" w:rsidRDefault="00C663CB" w:rsidP="0028221D">
      <w:pPr>
        <w:spacing w:line="360" w:lineRule="auto"/>
        <w:ind w:firstLine="567"/>
        <w:jc w:val="both"/>
        <w:rPr>
          <w:rFonts w:ascii="Arial Narrow" w:eastAsia="Times New Roman" w:hAnsi="Arial Narrow" w:cs="Times New Roman"/>
          <w:bCs/>
          <w:spacing w:val="-4"/>
          <w:kern w:val="24"/>
          <w:lang w:eastAsia="ar-SA"/>
        </w:rPr>
      </w:pPr>
      <w:r w:rsidRPr="00151E92">
        <w:rPr>
          <w:rFonts w:ascii="Arial Narrow" w:eastAsia="Times New Roman" w:hAnsi="Arial Narrow" w:cs="Times New Roman"/>
          <w:bCs/>
          <w:spacing w:val="-4"/>
          <w:kern w:val="24"/>
          <w:lang w:eastAsia="pl-PL"/>
        </w:rPr>
        <w:t xml:space="preserve">Uprzejmie informuję, że na podstawie art. 284 ust. 1 </w:t>
      </w:r>
      <w:r w:rsidR="0028221D" w:rsidRPr="00151E92">
        <w:rPr>
          <w:rFonts w:ascii="Arial Narrow" w:hAnsi="Arial Narrow"/>
        </w:rPr>
        <w:t xml:space="preserve">ustawy z dnia 11 września 2019 r. – Prawo zamówień publicznych (Dz. U. z 2019 r. poz. 2019 ze zm.) </w:t>
      </w:r>
      <w:r w:rsidRPr="00151E92">
        <w:rPr>
          <w:rFonts w:ascii="Arial Narrow" w:hAnsi="Arial Narrow" w:cs="Times New Roman"/>
        </w:rPr>
        <w:t xml:space="preserve"> </w:t>
      </w:r>
      <w:r w:rsidRPr="00151E92">
        <w:rPr>
          <w:rFonts w:ascii="Arial Narrow" w:eastAsia="Times New Roman" w:hAnsi="Arial Narrow" w:cs="Times New Roman"/>
          <w:bCs/>
          <w:spacing w:val="-4"/>
          <w:kern w:val="24"/>
          <w:lang w:eastAsia="ar-SA"/>
        </w:rPr>
        <w:t>Wykonawca może zwrócić się do Zamawiającego z wnioskiem o wyjaśnienie treści SWZ.</w:t>
      </w:r>
    </w:p>
    <w:p w:rsidR="00151E92" w:rsidRPr="00866852" w:rsidRDefault="00C663CB" w:rsidP="00866852">
      <w:pPr>
        <w:spacing w:after="120" w:line="360" w:lineRule="auto"/>
        <w:ind w:firstLine="567"/>
        <w:jc w:val="both"/>
        <w:rPr>
          <w:rFonts w:ascii="Arial Narrow" w:eastAsia="Times New Roman" w:hAnsi="Arial Narrow" w:cs="Times New Roman"/>
          <w:bCs/>
          <w:spacing w:val="-4"/>
          <w:kern w:val="24"/>
          <w:lang w:eastAsia="ar-SA"/>
        </w:rPr>
      </w:pPr>
      <w:r w:rsidRPr="00151E92">
        <w:rPr>
          <w:rFonts w:ascii="Arial Narrow" w:hAnsi="Arial Narrow" w:cs="Times New Roman"/>
          <w:bCs/>
          <w:spacing w:val="-4"/>
          <w:kern w:val="24"/>
        </w:rPr>
        <w:t xml:space="preserve">Od Wykonawcy wpłynęły zapytania dotyczące </w:t>
      </w:r>
      <w:bookmarkStart w:id="1" w:name="_Hlk29451860"/>
      <w:r w:rsidRPr="00151E92">
        <w:rPr>
          <w:rFonts w:ascii="Arial Narrow" w:hAnsi="Arial Narrow" w:cs="Times New Roman"/>
          <w:bCs/>
          <w:spacing w:val="-4"/>
          <w:kern w:val="24"/>
        </w:rPr>
        <w:t>przedmiotowego postępowania.</w:t>
      </w:r>
      <w:bookmarkEnd w:id="1"/>
      <w:r w:rsidRPr="00151E92">
        <w:rPr>
          <w:rFonts w:ascii="Arial Narrow" w:hAnsi="Arial Narrow" w:cs="Times New Roman"/>
          <w:bCs/>
          <w:spacing w:val="-4"/>
          <w:kern w:val="24"/>
        </w:rPr>
        <w:t xml:space="preserve"> </w:t>
      </w:r>
      <w:r w:rsidR="00C326E4" w:rsidRPr="00151E92">
        <w:rPr>
          <w:rFonts w:ascii="Arial Narrow" w:hAnsi="Arial Narrow" w:cs="Times New Roman"/>
          <w:bCs/>
          <w:spacing w:val="-4"/>
          <w:kern w:val="24"/>
        </w:rPr>
        <w:br/>
      </w:r>
      <w:r w:rsidRPr="00151E92">
        <w:rPr>
          <w:rFonts w:ascii="Arial Narrow" w:hAnsi="Arial Narrow" w:cs="Times New Roman"/>
          <w:b/>
          <w:lang w:eastAsia="pl-PL"/>
        </w:rPr>
        <w:t>Poniżej zamieszczam tr</w:t>
      </w:r>
      <w:r w:rsidR="00C326E4" w:rsidRPr="00151E92">
        <w:rPr>
          <w:rFonts w:ascii="Arial Narrow" w:hAnsi="Arial Narrow" w:cs="Times New Roman"/>
          <w:b/>
          <w:lang w:eastAsia="pl-PL"/>
        </w:rPr>
        <w:t>eść zapytania wraz z wyjaśnieniami</w:t>
      </w:r>
      <w:r w:rsidRPr="00151E92">
        <w:rPr>
          <w:rFonts w:ascii="Arial Narrow" w:hAnsi="Arial Narrow" w:cs="Times New Roman"/>
          <w:b/>
          <w:lang w:eastAsia="pl-PL"/>
        </w:rPr>
        <w:t>: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b/>
          <w:kern w:val="0"/>
          <w:lang w:eastAsia="pl-PL" w:bidi="ar-SA"/>
        </w:rPr>
        <w:t>Pytanie 1: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Brak charakterystyki budowlanej i pożarowej obiektu, w szczególności: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• podział obiektu na strefy pożarowe,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• system nadzoru nad obiektem w dzień i w nocy oraz w trakcie trwania imprez z udziałem widzów.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Tak duży obiekt stanowi jedną strefę pożarową ? Mamy wątpliwości co do tego.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System nadzoru jest istotny dla opracowania właściwego scenariusza rozwoju pożaru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b/>
          <w:kern w:val="0"/>
          <w:lang w:eastAsia="pl-PL" w:bidi="ar-SA"/>
        </w:rPr>
        <w:t>Odp.</w:t>
      </w:r>
    </w:p>
    <w:p w:rsidR="00151E92" w:rsidRPr="00151E92" w:rsidRDefault="00151E92" w:rsidP="00F458E5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Obiekt wykonany jest w technologii mieszanej, jako wolnostojąca  jednokondygnacyjna hala betonowa, oparta na siatce słupów żelbetowych do której przymocowana jest konstrukcja linowa dachu wykonana z kabli nośnych. Pokrycie dachu stanowi konstrukcyjna blacha trapezowa z perforacją akustyczną na konstrukcji linowej, ocieplenie z wełny mineralnej i zewnętrzne pokrycie elastyczne membraną  typu  Sika. W strefie zaplecza obiekt wykonany jest jako parterowy (wbudowany pod trybuny),  żelbetowo – murowany  ze stropem pośrednim.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b/>
          <w:kern w:val="0"/>
          <w:lang w:eastAsia="pl-PL" w:bidi="ar-SA"/>
        </w:rPr>
        <w:t>PODZIAŁ NA STREFY POŻAROWE:</w:t>
      </w:r>
    </w:p>
    <w:p w:rsidR="00151E92" w:rsidRPr="00151E92" w:rsidRDefault="00151E92" w:rsidP="00151E92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-  </w:t>
      </w:r>
      <w:r w:rsidRPr="00151E92">
        <w:rPr>
          <w:rFonts w:ascii="Arial Narrow" w:eastAsia="Times New Roman" w:hAnsi="Arial Narrow" w:cs="Times New Roman"/>
          <w:b/>
          <w:kern w:val="0"/>
          <w:lang w:eastAsia="pl-PL" w:bidi="ar-SA"/>
        </w:rPr>
        <w:t>strefa I</w:t>
      </w: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 – nawa główna trybun (widownia) wraz z boiskiem,</w:t>
      </w:r>
    </w:p>
    <w:p w:rsidR="00151E92" w:rsidRPr="00151E92" w:rsidRDefault="00151E92" w:rsidP="00151E92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-  </w:t>
      </w:r>
      <w:r w:rsidRPr="00151E92">
        <w:rPr>
          <w:rFonts w:ascii="Arial Narrow" w:eastAsia="Times New Roman" w:hAnsi="Arial Narrow" w:cs="Times New Roman"/>
          <w:b/>
          <w:kern w:val="0"/>
          <w:lang w:eastAsia="pl-PL" w:bidi="ar-SA"/>
        </w:rPr>
        <w:t>strefa II</w:t>
      </w: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 – część  administracyjno-socjalna,   </w:t>
      </w:r>
    </w:p>
    <w:p w:rsidR="00151E92" w:rsidRPr="00151E92" w:rsidRDefault="00151E92" w:rsidP="00151E92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-  </w:t>
      </w:r>
      <w:r w:rsidRPr="00151E92">
        <w:rPr>
          <w:rFonts w:ascii="Arial Narrow" w:eastAsia="Times New Roman" w:hAnsi="Arial Narrow" w:cs="Times New Roman"/>
          <w:b/>
          <w:kern w:val="0"/>
          <w:lang w:eastAsia="pl-PL" w:bidi="ar-SA"/>
        </w:rPr>
        <w:t>strefa III</w:t>
      </w: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 – część </w:t>
      </w:r>
      <w:proofErr w:type="spellStart"/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magazynowo-techniczna</w:t>
      </w:r>
      <w:proofErr w:type="spellEnd"/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,</w:t>
      </w:r>
    </w:p>
    <w:p w:rsidR="00151E92" w:rsidRPr="00151E92" w:rsidRDefault="00151E92" w:rsidP="00151E92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-  </w:t>
      </w:r>
      <w:r w:rsidRPr="00151E92">
        <w:rPr>
          <w:rFonts w:ascii="Arial Narrow" w:eastAsia="Times New Roman" w:hAnsi="Arial Narrow" w:cs="Times New Roman"/>
          <w:b/>
          <w:kern w:val="0"/>
          <w:lang w:eastAsia="pl-PL" w:bidi="ar-SA"/>
        </w:rPr>
        <w:t>strefa IV</w:t>
      </w: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 – pomieszczenia zaplecza hali. </w:t>
      </w:r>
    </w:p>
    <w:p w:rsidR="00151E92" w:rsidRPr="00151E92" w:rsidRDefault="00151E92" w:rsidP="00151E92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b/>
          <w:kern w:val="0"/>
          <w:lang w:eastAsia="pl-PL" w:bidi="ar-SA"/>
        </w:rPr>
        <w:t>DANE TECHNICZNE OBIEKTU</w:t>
      </w:r>
    </w:p>
    <w:p w:rsidR="00151E92" w:rsidRPr="00151E92" w:rsidRDefault="00151E92" w:rsidP="00151E92">
      <w:pPr>
        <w:widowControl/>
        <w:tabs>
          <w:tab w:val="left" w:pos="4253"/>
        </w:tabs>
        <w:suppressAutoHyphens w:val="0"/>
        <w:spacing w:after="120"/>
        <w:ind w:left="283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Powierzchnia zabudowy                          - 6750  m</w:t>
      </w:r>
      <w:r w:rsidRPr="00151E92">
        <w:rPr>
          <w:rFonts w:ascii="Arial Narrow" w:eastAsia="Times New Roman" w:hAnsi="Arial Narrow" w:cs="Times New Roman"/>
          <w:kern w:val="0"/>
          <w:vertAlign w:val="superscript"/>
          <w:lang w:eastAsia="pl-PL" w:bidi="ar-SA"/>
        </w:rPr>
        <w:t>2</w:t>
      </w:r>
    </w:p>
    <w:p w:rsidR="00151E92" w:rsidRPr="00151E92" w:rsidRDefault="00151E92" w:rsidP="00151E92">
      <w:pPr>
        <w:widowControl/>
        <w:tabs>
          <w:tab w:val="left" w:pos="4253"/>
        </w:tabs>
        <w:suppressAutoHyphens w:val="0"/>
        <w:spacing w:after="120"/>
        <w:ind w:left="283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Powierzchnia użytkowa całkowita         - 8819,89  m</w:t>
      </w:r>
      <w:r w:rsidRPr="00151E92">
        <w:rPr>
          <w:rFonts w:ascii="Arial Narrow" w:eastAsia="Times New Roman" w:hAnsi="Arial Narrow" w:cs="Times New Roman"/>
          <w:kern w:val="0"/>
          <w:vertAlign w:val="superscript"/>
          <w:lang w:eastAsia="pl-PL" w:bidi="ar-SA"/>
        </w:rPr>
        <w:t xml:space="preserve">2 </w:t>
      </w:r>
    </w:p>
    <w:p w:rsidR="00151E92" w:rsidRPr="00151E92" w:rsidRDefault="00151E92" w:rsidP="00151E92">
      <w:pPr>
        <w:widowControl/>
        <w:suppressAutoHyphens w:val="0"/>
        <w:spacing w:after="120"/>
        <w:ind w:left="3828" w:hanging="3402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w tym: </w:t>
      </w:r>
    </w:p>
    <w:p w:rsidR="00151E92" w:rsidRPr="00151E92" w:rsidRDefault="00151E92" w:rsidP="00151E92">
      <w:pPr>
        <w:widowControl/>
        <w:numPr>
          <w:ilvl w:val="1"/>
          <w:numId w:val="4"/>
        </w:numPr>
        <w:tabs>
          <w:tab w:val="num" w:pos="709"/>
        </w:tabs>
        <w:suppressAutoHyphens w:val="0"/>
        <w:spacing w:line="360" w:lineRule="auto"/>
        <w:ind w:hanging="1014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lastRenderedPageBreak/>
        <w:t>sala   główna                                 - 4700,59  m</w:t>
      </w:r>
      <w:r w:rsidRPr="00151E92">
        <w:rPr>
          <w:rFonts w:ascii="Arial Narrow" w:eastAsia="Times New Roman" w:hAnsi="Arial Narrow" w:cs="Times New Roman"/>
          <w:kern w:val="0"/>
          <w:vertAlign w:val="superscript"/>
          <w:lang w:eastAsia="pl-PL" w:bidi="ar-SA"/>
        </w:rPr>
        <w:t>2</w:t>
      </w: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 </w:t>
      </w:r>
    </w:p>
    <w:p w:rsidR="00151E92" w:rsidRPr="00151E92" w:rsidRDefault="00151E92" w:rsidP="00151E92">
      <w:pPr>
        <w:widowControl/>
        <w:suppressAutoHyphens w:val="0"/>
        <w:spacing w:after="120"/>
        <w:ind w:left="360" w:firstLine="349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podzielona na:</w:t>
      </w:r>
      <w:r w:rsidRPr="00151E92">
        <w:rPr>
          <w:rFonts w:ascii="Arial Narrow" w:eastAsia="Times New Roman" w:hAnsi="Arial Narrow" w:cs="Times New Roman"/>
          <w:kern w:val="0"/>
          <w:vertAlign w:val="superscript"/>
          <w:lang w:eastAsia="pl-PL" w:bidi="ar-SA"/>
        </w:rPr>
        <w:t xml:space="preserve"> </w:t>
      </w:r>
    </w:p>
    <w:p w:rsidR="00151E92" w:rsidRPr="00151E92" w:rsidRDefault="00151E92" w:rsidP="00151E92">
      <w:pPr>
        <w:widowControl/>
        <w:suppressAutoHyphens w:val="0"/>
        <w:spacing w:after="120"/>
        <w:ind w:left="360" w:firstLine="349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- boisko                                         - 1558,75  m</w:t>
      </w:r>
      <w:r w:rsidRPr="00151E92">
        <w:rPr>
          <w:rFonts w:ascii="Arial Narrow" w:eastAsia="Times New Roman" w:hAnsi="Arial Narrow" w:cs="Times New Roman"/>
          <w:kern w:val="0"/>
          <w:vertAlign w:val="superscript"/>
          <w:lang w:eastAsia="pl-PL" w:bidi="ar-SA"/>
        </w:rPr>
        <w:t>2</w:t>
      </w:r>
    </w:p>
    <w:p w:rsidR="00151E92" w:rsidRPr="00151E92" w:rsidRDefault="00151E92" w:rsidP="00151E92">
      <w:pPr>
        <w:widowControl/>
        <w:suppressAutoHyphens w:val="0"/>
        <w:spacing w:after="120"/>
        <w:ind w:left="360" w:firstLine="349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- nawy trybun                                - 3141,84  m</w:t>
      </w:r>
      <w:r w:rsidRPr="00151E92">
        <w:rPr>
          <w:rFonts w:ascii="Arial Narrow" w:eastAsia="Times New Roman" w:hAnsi="Arial Narrow" w:cs="Times New Roman"/>
          <w:kern w:val="0"/>
          <w:vertAlign w:val="superscript"/>
          <w:lang w:eastAsia="pl-PL" w:bidi="ar-SA"/>
        </w:rPr>
        <w:t>2</w:t>
      </w:r>
    </w:p>
    <w:p w:rsidR="00151E92" w:rsidRPr="00151E92" w:rsidRDefault="00151E92" w:rsidP="00151E92">
      <w:pPr>
        <w:widowControl/>
        <w:numPr>
          <w:ilvl w:val="1"/>
          <w:numId w:val="4"/>
        </w:numPr>
        <w:tabs>
          <w:tab w:val="num" w:pos="709"/>
          <w:tab w:val="left" w:pos="4253"/>
        </w:tabs>
        <w:suppressAutoHyphens w:val="0"/>
        <w:spacing w:line="360" w:lineRule="auto"/>
        <w:ind w:hanging="1014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zaplecze obiektu i komunikacja   - 4119,3  m</w:t>
      </w:r>
      <w:r w:rsidRPr="00151E92">
        <w:rPr>
          <w:rFonts w:ascii="Arial Narrow" w:eastAsia="Times New Roman" w:hAnsi="Arial Narrow" w:cs="Times New Roman"/>
          <w:kern w:val="0"/>
          <w:vertAlign w:val="superscript"/>
          <w:lang w:eastAsia="pl-PL" w:bidi="ar-SA"/>
        </w:rPr>
        <w:t>2</w:t>
      </w:r>
    </w:p>
    <w:p w:rsidR="00151E92" w:rsidRPr="00151E92" w:rsidRDefault="00151E92" w:rsidP="00151E92">
      <w:pPr>
        <w:widowControl/>
        <w:suppressAutoHyphens w:val="0"/>
        <w:spacing w:after="120"/>
        <w:ind w:left="283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           w tym:</w:t>
      </w:r>
    </w:p>
    <w:p w:rsidR="00151E92" w:rsidRPr="00151E92" w:rsidRDefault="00151E92" w:rsidP="00151E92">
      <w:pPr>
        <w:widowControl/>
        <w:suppressAutoHyphens w:val="0"/>
        <w:spacing w:after="120"/>
        <w:ind w:left="283" w:firstLine="709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- pom. dla sportowców                 - 264,1  m</w:t>
      </w:r>
      <w:r w:rsidRPr="00151E92">
        <w:rPr>
          <w:rFonts w:ascii="Arial Narrow" w:eastAsia="Times New Roman" w:hAnsi="Arial Narrow" w:cs="Times New Roman"/>
          <w:kern w:val="0"/>
          <w:vertAlign w:val="superscript"/>
          <w:lang w:eastAsia="pl-PL" w:bidi="ar-SA"/>
        </w:rPr>
        <w:t>2</w:t>
      </w: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 </w:t>
      </w:r>
    </w:p>
    <w:p w:rsidR="00151E92" w:rsidRPr="00151E92" w:rsidRDefault="00151E92" w:rsidP="00151E92">
      <w:pPr>
        <w:widowControl/>
        <w:suppressAutoHyphens w:val="0"/>
        <w:spacing w:after="120"/>
        <w:ind w:left="283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           - pom. administracyjno- socjalne - 123,5  m</w:t>
      </w:r>
      <w:r w:rsidRPr="00151E92">
        <w:rPr>
          <w:rFonts w:ascii="Arial Narrow" w:eastAsia="Times New Roman" w:hAnsi="Arial Narrow" w:cs="Times New Roman"/>
          <w:kern w:val="0"/>
          <w:vertAlign w:val="superscript"/>
          <w:lang w:eastAsia="pl-PL" w:bidi="ar-SA"/>
        </w:rPr>
        <w:t>2</w:t>
      </w: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 </w:t>
      </w:r>
    </w:p>
    <w:p w:rsidR="00151E92" w:rsidRPr="00151E92" w:rsidRDefault="00151E92" w:rsidP="00151E92">
      <w:pPr>
        <w:widowControl/>
        <w:suppressAutoHyphens w:val="0"/>
        <w:spacing w:after="120"/>
        <w:ind w:left="283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           - część magazynowa                     - 235,42  m</w:t>
      </w:r>
      <w:r w:rsidRPr="00151E92">
        <w:rPr>
          <w:rFonts w:ascii="Arial Narrow" w:eastAsia="Times New Roman" w:hAnsi="Arial Narrow" w:cs="Times New Roman"/>
          <w:kern w:val="0"/>
          <w:vertAlign w:val="superscript"/>
          <w:lang w:eastAsia="pl-PL" w:bidi="ar-SA"/>
        </w:rPr>
        <w:t>2</w:t>
      </w: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 </w:t>
      </w:r>
    </w:p>
    <w:p w:rsidR="00151E92" w:rsidRPr="00151E92" w:rsidRDefault="00151E92" w:rsidP="00151E92">
      <w:pPr>
        <w:widowControl/>
        <w:tabs>
          <w:tab w:val="left" w:pos="4253"/>
        </w:tabs>
        <w:suppressAutoHyphens w:val="0"/>
        <w:spacing w:after="120"/>
        <w:ind w:left="283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Wysokość                                                - 22,108  m</w:t>
      </w:r>
      <w:r w:rsidRPr="00151E92">
        <w:rPr>
          <w:rFonts w:ascii="Arial Narrow" w:eastAsia="Times New Roman" w:hAnsi="Arial Narrow" w:cs="Times New Roman"/>
          <w:kern w:val="0"/>
          <w:vertAlign w:val="superscript"/>
          <w:lang w:eastAsia="pl-PL" w:bidi="ar-SA"/>
        </w:rPr>
        <w:t xml:space="preserve"> </w:t>
      </w:r>
    </w:p>
    <w:p w:rsidR="00151E92" w:rsidRPr="00151E92" w:rsidRDefault="00151E92" w:rsidP="009A6F3B">
      <w:pPr>
        <w:widowControl/>
        <w:suppressAutoHyphens w:val="0"/>
        <w:spacing w:after="120"/>
        <w:ind w:firstLine="284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Kubatura                                                  - 68922  m</w:t>
      </w:r>
      <w:r w:rsidRPr="00151E92">
        <w:rPr>
          <w:rFonts w:ascii="Arial Narrow" w:eastAsia="Times New Roman" w:hAnsi="Arial Narrow" w:cs="Times New Roman"/>
          <w:kern w:val="0"/>
          <w:vertAlign w:val="superscript"/>
          <w:lang w:eastAsia="pl-PL" w:bidi="ar-SA"/>
        </w:rPr>
        <w:t>3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b/>
          <w:kern w:val="0"/>
          <w:lang w:eastAsia="pl-PL" w:bidi="ar-SA"/>
        </w:rPr>
        <w:t>Pytanie 2: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W pkt. 2.6. Wykonanie systemu jest zapis „Przewody pętli dozorowych </w:t>
      </w:r>
      <w:proofErr w:type="spellStart"/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YnTKSYekw</w:t>
      </w:r>
      <w:proofErr w:type="spellEnd"/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 1x2x0,8 układać natynkowo w listwach teletechnicznych. Dopuszcza się wykorzystanie istniejącej infrastruktury przewodowej dotychczasowego systemu pod warunkiem, że przewody będą sprawne. Należy przeprowadzić pomiary ciągłości i rezystancji istniejących przewodów".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Istniejący system był montowany ponad 20 lat temu, czy nie należy przyjąć układania nowych przewodów – jaki w takim razie przyjęto procent przewodów do wykorzystania w kosztorysie ?</w:t>
      </w:r>
    </w:p>
    <w:p w:rsidR="00151E92" w:rsidRPr="00151E92" w:rsidRDefault="009A6F3B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9A6F3B">
        <w:rPr>
          <w:rFonts w:ascii="Arial Narrow" w:eastAsia="Times New Roman" w:hAnsi="Arial Narrow" w:cs="Times New Roman"/>
          <w:b/>
          <w:kern w:val="0"/>
          <w:lang w:eastAsia="pl-PL" w:bidi="ar-SA"/>
        </w:rPr>
        <w:t>Odp.</w:t>
      </w:r>
    </w:p>
    <w:p w:rsidR="00151E92" w:rsidRPr="00151E92" w:rsidRDefault="00151E92" w:rsidP="009A6F3B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Na etapie opracowywania projektu dokonano sprawdzenia części przewodów. Pomiary potwierdziły, że parametry przewodów są zgodne z normą. W kosztorysie uwzględniono nowe przewody, ze względu na instalację większej ilości urządzeń niż obecnie zainstalowanych.</w:t>
      </w:r>
    </w:p>
    <w:p w:rsidR="00151E92" w:rsidRPr="00151E92" w:rsidRDefault="00151E92" w:rsidP="009A6F3B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b/>
          <w:kern w:val="0"/>
          <w:lang w:eastAsia="pl-PL" w:bidi="ar-SA"/>
        </w:rPr>
        <w:t>Pytanie 3: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Brak jest informacji na jakiej wysokości montować czujki liniowe. Dodatkowo nie są podane wymiary hali oraz wysokość, a także brakuje przekrojów. Czy projektant jest pewny, że czujki liniowe w tym przypadku (montowane zgodnie z zaleceniami producentów i wytycznych) są właściwym wyborem i będą w stanie zabezpieczyć, a przede wszystkim wykryć powstałe zagrożenie ?</w:t>
      </w:r>
    </w:p>
    <w:p w:rsidR="00151E92" w:rsidRPr="00151E92" w:rsidRDefault="000E0074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0E0074">
        <w:rPr>
          <w:rFonts w:ascii="Arial Narrow" w:eastAsia="Times New Roman" w:hAnsi="Arial Narrow" w:cs="Times New Roman"/>
          <w:b/>
          <w:kern w:val="0"/>
          <w:lang w:eastAsia="pl-PL" w:bidi="ar-SA"/>
        </w:rPr>
        <w:t>Odp.</w:t>
      </w:r>
    </w:p>
    <w:p w:rsidR="00151E92" w:rsidRPr="00151E92" w:rsidRDefault="00151E92" w:rsidP="000E0074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Czujki liniowe zaprojektowano zgodnie z wymaganiami normy PKN-CEN/TS 54-14:2006. Czujki liniowe instalować tak, aby ich elementy detekcyjne znajdowały się w granicach górnych 5% wysokości pomieszczenia. Wysokości pomieszczenia przedstawiono na rzutach inwentaryzacji awaryjnego oświetlenia ewakuacyjnego.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b/>
          <w:kern w:val="0"/>
          <w:lang w:eastAsia="pl-PL" w:bidi="ar-SA"/>
        </w:rPr>
        <w:t>Pytanie 4: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W pkt.8. Uwagi końcowe jest zapis” Wykonawca jest zobowiązany do zrealizowania wszystkich brakujących i pominiętych w niniejszym opracowaniu elementów instalacji wraz z dostarczeniem koniecznych materiałów i urządzeń dla kompletnego wykonania instalacji elektrycznych wewnętrznych i zapewnienia jej pełnej funkcjonalności”.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Taki zapis jest nie do przyjęcia, gdyż zwalnia projektanta z odpowiedzialności za projekt, a całość odpowiedzialności za kompletną instalację obarcza wykonawcę. Umowa nie daje możliwości zwiększenia zakresu robót o dodatkowo zamontowane urządzenia i zwiększony zakres robót. Dlatego też dokumentacja winna być kompletna, a kosztorys uwzględniać wszystkie urządzenia i roboty.</w:t>
      </w:r>
    </w:p>
    <w:p w:rsidR="00151E92" w:rsidRPr="00151E92" w:rsidRDefault="000E0074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0E0074">
        <w:rPr>
          <w:rFonts w:ascii="Arial Narrow" w:eastAsia="Times New Roman" w:hAnsi="Arial Narrow" w:cs="Times New Roman"/>
          <w:b/>
          <w:kern w:val="0"/>
          <w:lang w:eastAsia="pl-PL" w:bidi="ar-SA"/>
        </w:rPr>
        <w:t>Odp.</w:t>
      </w:r>
    </w:p>
    <w:p w:rsidR="00151E92" w:rsidRPr="00151E92" w:rsidRDefault="00151E92" w:rsidP="000E0074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Cytowany zapis nie zwalnia projektanta z odpowiedzialności za projekt. Projekt przewiduje montaż urządzeń i wykonanie prac niezbędnych do prawidłowego wykonania zadania. Zadaniem Wykonawcy </w:t>
      </w: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lastRenderedPageBreak/>
        <w:t>jest wykonanie kompletnej instalacji systemu sygnalizacji pożaru wraz z dostarczeniem niezbędnych materiałów oraz wykonaniem stosownych pomiarów. Prace należy wykonać zgodnie z obowiązującymi przepisami.</w:t>
      </w:r>
    </w:p>
    <w:p w:rsidR="000E0074" w:rsidRDefault="00151E92" w:rsidP="000E0074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b/>
          <w:kern w:val="0"/>
          <w:lang w:eastAsia="pl-PL" w:bidi="ar-SA"/>
        </w:rPr>
        <w:t>Pytanie 5</w:t>
      </w: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: </w:t>
      </w:r>
    </w:p>
    <w:p w:rsidR="00151E92" w:rsidRPr="00151E92" w:rsidRDefault="00151E92" w:rsidP="000E0074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Na niektórych klatkach schodowych są klapy dymowe z ręcznym wyzwalaniem. Czy systemy te świadomie mają pozostać niezintegrowane z SSP ?</w:t>
      </w:r>
    </w:p>
    <w:p w:rsidR="00151E92" w:rsidRPr="00151E92" w:rsidRDefault="000E0074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0E0074">
        <w:rPr>
          <w:rFonts w:ascii="Arial Narrow" w:eastAsia="Times New Roman" w:hAnsi="Arial Narrow" w:cs="Times New Roman"/>
          <w:b/>
          <w:kern w:val="0"/>
          <w:lang w:eastAsia="pl-PL" w:bidi="ar-SA"/>
        </w:rPr>
        <w:t>Odp.</w:t>
      </w:r>
    </w:p>
    <w:p w:rsidR="00151E92" w:rsidRPr="00151E92" w:rsidRDefault="00151E92" w:rsidP="000E0074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Systemy oddymiania klatek schodowych, tak jak wspomniano w pytaniu, są wyzwalane ręcznie, więc nie ma możliwości połączenia ich na obecnym etapie z systemem sygnalizacji pożaru. Systemy oddymiania nie był w zakresie opracowania projektu.</w:t>
      </w:r>
    </w:p>
    <w:p w:rsidR="000E0074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b/>
          <w:kern w:val="0"/>
          <w:lang w:eastAsia="pl-PL" w:bidi="ar-SA"/>
        </w:rPr>
        <w:t>Pytanie 6:</w:t>
      </w: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 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Na rys. 3. pokazano lokalizację klap pożarowych na kanałach wentylacyjnych, w związku z tym należy sądzić, że hala sportowa nie jest jedną strefą pożarową (pytanie 1). Ponadto w jaki sposób ma się odbywać sterowanie (zamykanie) tych klap poprzez sygnał z SSP ? – nie ma informacji na ten temat w opisie.</w:t>
      </w:r>
    </w:p>
    <w:p w:rsidR="00151E92" w:rsidRPr="00151E92" w:rsidRDefault="000E0074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0E0074">
        <w:rPr>
          <w:rFonts w:ascii="Arial Narrow" w:eastAsia="Times New Roman" w:hAnsi="Arial Narrow" w:cs="Times New Roman"/>
          <w:b/>
          <w:kern w:val="0"/>
          <w:lang w:eastAsia="pl-PL" w:bidi="ar-SA"/>
        </w:rPr>
        <w:t>Odp.</w:t>
      </w:r>
    </w:p>
    <w:p w:rsidR="00151E92" w:rsidRPr="00151E92" w:rsidRDefault="00151E92" w:rsidP="000E0074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Przedstawione na rys. nr 3 klapy znajdują się na zewnątrz obiektu w części technicznej. Wszystkie wejścia kanałów do obiektu są zabezpieczone klapami ppoż. W tym przypadku nie ma znaczenia podział na strefy pożarowe. Na rys. nr 3 zaznaczone zostały rozdzielnice zasilające klapy ppoż. Zamknięcie klap nastąpi po zdjęciu napięcia zasilającego. Sterowanie odbywać się będzie poprzez styki przekaźnikowe elementów kontrolno-sterujących.</w:t>
      </w:r>
    </w:p>
    <w:p w:rsidR="000E0074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b/>
          <w:kern w:val="0"/>
          <w:lang w:eastAsia="pl-PL" w:bidi="ar-SA"/>
        </w:rPr>
        <w:t>Pytanie 7</w:t>
      </w: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: 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W kosztorysie:</w:t>
      </w:r>
    </w:p>
    <w:p w:rsidR="00151E92" w:rsidRPr="00151E92" w:rsidRDefault="00151E92" w:rsidP="00151E92">
      <w:pPr>
        <w:widowControl/>
        <w:numPr>
          <w:ilvl w:val="0"/>
          <w:numId w:val="5"/>
        </w:numPr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poz. 1 „Demontaż istniejącego systemu sygnalizacji pożaru – 1 </w:t>
      </w:r>
      <w:proofErr w:type="spellStart"/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kpl</w:t>
      </w:r>
      <w:proofErr w:type="spellEnd"/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.”</w:t>
      </w:r>
    </w:p>
    <w:p w:rsidR="00151E92" w:rsidRPr="00151E92" w:rsidRDefault="00151E92" w:rsidP="00151E92">
      <w:pPr>
        <w:widowControl/>
        <w:suppressAutoHyphens w:val="0"/>
        <w:ind w:left="7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Proszę o podanie ile i jakie urządzenia są zamontowane i na jakich wysokościach. Jest to kluczowe do prawidłowego sporządzenia wyceny w tym zakresie.</w:t>
      </w:r>
    </w:p>
    <w:p w:rsidR="00151E92" w:rsidRPr="00151E92" w:rsidRDefault="00151E92" w:rsidP="00151E92">
      <w:pPr>
        <w:widowControl/>
        <w:numPr>
          <w:ilvl w:val="0"/>
          <w:numId w:val="5"/>
        </w:numPr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poz. 11 „Rury winidurowe o średnicy do 20 mm układane </w:t>
      </w:r>
      <w:proofErr w:type="spellStart"/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n.t.</w:t>
      </w:r>
      <w:proofErr w:type="spellEnd"/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 xml:space="preserve"> w podłożu innym niż beton.”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W jakich obszarach instalacja ma być prowadzona w rurkach, a w jakich w korytkach ? – z opisu to nie wynika.</w:t>
      </w:r>
    </w:p>
    <w:p w:rsidR="00151E92" w:rsidRPr="00151E92" w:rsidRDefault="000E0074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0E0074">
        <w:rPr>
          <w:rFonts w:ascii="Arial Narrow" w:eastAsia="Times New Roman" w:hAnsi="Arial Narrow" w:cs="Times New Roman"/>
          <w:b/>
          <w:kern w:val="0"/>
          <w:lang w:eastAsia="pl-PL" w:bidi="ar-SA"/>
        </w:rPr>
        <w:t>Odp.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Poz. 1 kosztorysu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7200"/>
        <w:gridCol w:w="1220"/>
      </w:tblGrid>
      <w:tr w:rsidR="00151E92" w:rsidRPr="00151E92" w:rsidTr="0070298F">
        <w:trPr>
          <w:trHeight w:val="398"/>
        </w:trPr>
        <w:tc>
          <w:tcPr>
            <w:tcW w:w="790" w:type="dxa"/>
            <w:vAlign w:val="bottom"/>
          </w:tcPr>
          <w:p w:rsidR="00151E92" w:rsidRPr="00151E92" w:rsidRDefault="00151E92" w:rsidP="00151E92">
            <w:pPr>
              <w:widowControl/>
              <w:suppressAutoHyphens w:val="0"/>
              <w:spacing w:line="360" w:lineRule="auto"/>
              <w:jc w:val="both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Lp.</w:t>
            </w:r>
          </w:p>
        </w:tc>
        <w:tc>
          <w:tcPr>
            <w:tcW w:w="7200" w:type="dxa"/>
            <w:vAlign w:val="bottom"/>
          </w:tcPr>
          <w:p w:rsidR="00151E92" w:rsidRPr="00151E92" w:rsidRDefault="00151E92" w:rsidP="00151E92">
            <w:pPr>
              <w:widowControl/>
              <w:suppressAutoHyphens w:val="0"/>
              <w:spacing w:line="360" w:lineRule="auto"/>
              <w:jc w:val="both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nazwa urządzenia</w:t>
            </w:r>
          </w:p>
        </w:tc>
        <w:tc>
          <w:tcPr>
            <w:tcW w:w="1220" w:type="dxa"/>
            <w:vAlign w:val="bottom"/>
          </w:tcPr>
          <w:p w:rsidR="00151E92" w:rsidRPr="00151E92" w:rsidRDefault="00151E92" w:rsidP="00151E92">
            <w:pPr>
              <w:widowControl/>
              <w:suppressAutoHyphens w:val="0"/>
              <w:spacing w:line="360" w:lineRule="auto"/>
              <w:jc w:val="both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ilość</w:t>
            </w:r>
          </w:p>
        </w:tc>
      </w:tr>
      <w:tr w:rsidR="00151E92" w:rsidRPr="00151E92" w:rsidTr="0070298F">
        <w:trPr>
          <w:cantSplit/>
          <w:trHeight w:val="398"/>
        </w:trPr>
        <w:tc>
          <w:tcPr>
            <w:tcW w:w="790" w:type="dxa"/>
            <w:vAlign w:val="bottom"/>
          </w:tcPr>
          <w:p w:rsidR="00151E92" w:rsidRPr="00151E92" w:rsidRDefault="00151E92" w:rsidP="00151E92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</w:tc>
        <w:tc>
          <w:tcPr>
            <w:tcW w:w="720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Centrala sygnalizacji pożaru  ALFA 3800 – montaż na wysokości ~1,5m</w:t>
            </w:r>
          </w:p>
        </w:tc>
        <w:tc>
          <w:tcPr>
            <w:tcW w:w="122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spacing w:line="36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1</w:t>
            </w:r>
          </w:p>
        </w:tc>
      </w:tr>
      <w:tr w:rsidR="00151E92" w:rsidRPr="00151E92" w:rsidTr="0070298F">
        <w:trPr>
          <w:trHeight w:val="383"/>
        </w:trPr>
        <w:tc>
          <w:tcPr>
            <w:tcW w:w="790" w:type="dxa"/>
            <w:vAlign w:val="bottom"/>
          </w:tcPr>
          <w:p w:rsidR="00151E92" w:rsidRPr="00151E92" w:rsidRDefault="00151E92" w:rsidP="00151E92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</w:tc>
        <w:tc>
          <w:tcPr>
            <w:tcW w:w="720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Optyczna czujka dymu DOR 35 – montaż na wysokości ~1,5-5m</w:t>
            </w:r>
          </w:p>
        </w:tc>
        <w:tc>
          <w:tcPr>
            <w:tcW w:w="122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spacing w:line="36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120</w:t>
            </w:r>
          </w:p>
        </w:tc>
      </w:tr>
      <w:tr w:rsidR="00151E92" w:rsidRPr="00151E92" w:rsidTr="0070298F">
        <w:trPr>
          <w:trHeight w:val="398"/>
        </w:trPr>
        <w:tc>
          <w:tcPr>
            <w:tcW w:w="790" w:type="dxa"/>
            <w:vAlign w:val="bottom"/>
          </w:tcPr>
          <w:p w:rsidR="00151E92" w:rsidRPr="00151E92" w:rsidRDefault="00151E92" w:rsidP="00151E92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</w:tc>
        <w:tc>
          <w:tcPr>
            <w:tcW w:w="720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Czujka temperatury TUP 37 – montaż na wysokości ~3m</w:t>
            </w:r>
          </w:p>
        </w:tc>
        <w:tc>
          <w:tcPr>
            <w:tcW w:w="122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spacing w:line="36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3</w:t>
            </w:r>
          </w:p>
        </w:tc>
      </w:tr>
      <w:tr w:rsidR="00151E92" w:rsidRPr="00151E92" w:rsidTr="0070298F">
        <w:trPr>
          <w:trHeight w:val="398"/>
        </w:trPr>
        <w:tc>
          <w:tcPr>
            <w:tcW w:w="790" w:type="dxa"/>
            <w:vAlign w:val="bottom"/>
          </w:tcPr>
          <w:p w:rsidR="00151E92" w:rsidRPr="00151E92" w:rsidRDefault="00151E92" w:rsidP="00151E92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</w:tc>
        <w:tc>
          <w:tcPr>
            <w:tcW w:w="720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Czujka liniowa DOP 40 z reflektorami – montaż na wysokości ~4-6m</w:t>
            </w:r>
          </w:p>
        </w:tc>
        <w:tc>
          <w:tcPr>
            <w:tcW w:w="122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spacing w:line="36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8</w:t>
            </w:r>
          </w:p>
        </w:tc>
      </w:tr>
      <w:tr w:rsidR="00151E92" w:rsidRPr="00151E92" w:rsidTr="0070298F">
        <w:trPr>
          <w:trHeight w:val="398"/>
        </w:trPr>
        <w:tc>
          <w:tcPr>
            <w:tcW w:w="790" w:type="dxa"/>
            <w:vAlign w:val="bottom"/>
          </w:tcPr>
          <w:p w:rsidR="00151E92" w:rsidRPr="00151E92" w:rsidRDefault="00151E92" w:rsidP="00151E92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</w:tc>
        <w:tc>
          <w:tcPr>
            <w:tcW w:w="720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Ręczny ostrzegacz pożarowy ROP 38A – montaż na wysokości 1,2-1,6m</w:t>
            </w:r>
          </w:p>
        </w:tc>
        <w:tc>
          <w:tcPr>
            <w:tcW w:w="122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spacing w:line="36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34</w:t>
            </w:r>
          </w:p>
        </w:tc>
      </w:tr>
      <w:tr w:rsidR="00151E92" w:rsidRPr="00151E92" w:rsidTr="0070298F">
        <w:trPr>
          <w:trHeight w:val="398"/>
        </w:trPr>
        <w:tc>
          <w:tcPr>
            <w:tcW w:w="790" w:type="dxa"/>
            <w:vAlign w:val="bottom"/>
          </w:tcPr>
          <w:p w:rsidR="00151E92" w:rsidRPr="00151E92" w:rsidRDefault="00151E92" w:rsidP="00151E92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</w:tc>
        <w:tc>
          <w:tcPr>
            <w:tcW w:w="720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Adapter linii konwencjonalnej ADC 38 – montaż na wysokości ~2,8m</w:t>
            </w:r>
          </w:p>
        </w:tc>
        <w:tc>
          <w:tcPr>
            <w:tcW w:w="122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spacing w:line="36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10</w:t>
            </w:r>
          </w:p>
        </w:tc>
      </w:tr>
      <w:tr w:rsidR="00151E92" w:rsidRPr="00151E92" w:rsidTr="0070298F">
        <w:trPr>
          <w:trHeight w:val="398"/>
        </w:trPr>
        <w:tc>
          <w:tcPr>
            <w:tcW w:w="790" w:type="dxa"/>
            <w:vAlign w:val="bottom"/>
          </w:tcPr>
          <w:p w:rsidR="00151E92" w:rsidRPr="00151E92" w:rsidRDefault="00151E92" w:rsidP="00151E92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</w:tc>
        <w:tc>
          <w:tcPr>
            <w:tcW w:w="720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Sygnalizator akustyczny SA-K – montaż na wysokości ~3m</w:t>
            </w:r>
          </w:p>
        </w:tc>
        <w:tc>
          <w:tcPr>
            <w:tcW w:w="122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spacing w:line="36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6</w:t>
            </w:r>
          </w:p>
        </w:tc>
      </w:tr>
      <w:tr w:rsidR="00151E92" w:rsidRPr="00151E92" w:rsidTr="0070298F">
        <w:trPr>
          <w:trHeight w:val="398"/>
        </w:trPr>
        <w:tc>
          <w:tcPr>
            <w:tcW w:w="790" w:type="dxa"/>
            <w:vAlign w:val="bottom"/>
          </w:tcPr>
          <w:p w:rsidR="00151E92" w:rsidRPr="00151E92" w:rsidRDefault="00151E92" w:rsidP="00151E92">
            <w:pPr>
              <w:widowControl/>
              <w:numPr>
                <w:ilvl w:val="0"/>
                <w:numId w:val="3"/>
              </w:numPr>
              <w:suppressAutoHyphens w:val="0"/>
              <w:spacing w:line="360" w:lineRule="auto"/>
              <w:jc w:val="both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</w:p>
        </w:tc>
        <w:tc>
          <w:tcPr>
            <w:tcW w:w="720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Tablica alarmowa TW-35 – montaż na wysokości ~1,5m</w:t>
            </w:r>
          </w:p>
        </w:tc>
        <w:tc>
          <w:tcPr>
            <w:tcW w:w="1220" w:type="dxa"/>
            <w:vAlign w:val="center"/>
          </w:tcPr>
          <w:p w:rsidR="00151E92" w:rsidRPr="00151E92" w:rsidRDefault="00151E92" w:rsidP="00151E92">
            <w:pPr>
              <w:widowControl/>
              <w:suppressAutoHyphens w:val="0"/>
              <w:spacing w:line="36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</w:pPr>
            <w:r w:rsidRPr="00151E92">
              <w:rPr>
                <w:rFonts w:ascii="Arial Narrow" w:eastAsia="Times New Roman" w:hAnsi="Arial Narrow" w:cs="Times New Roman"/>
                <w:kern w:val="0"/>
                <w:lang w:eastAsia="pl-PL" w:bidi="ar-SA"/>
              </w:rPr>
              <w:t>1</w:t>
            </w:r>
          </w:p>
        </w:tc>
      </w:tr>
    </w:tbl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Poz. 2 kosztorysu</w:t>
      </w: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</w:p>
    <w:p w:rsidR="00151E92" w:rsidRPr="00151E92" w:rsidRDefault="00151E92" w:rsidP="00151E92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lastRenderedPageBreak/>
        <w:t>Tak, jak przedstawiono na rysunku nr 3 instalację na zewnątrz ułożyć należy w rurach ochronnych odpornych na promieniowanie UV. W poz. 12 oraz 13 kosztorysu przewidziano przewody do układania w rurach ochronnych.</w:t>
      </w:r>
    </w:p>
    <w:p w:rsidR="00151E92" w:rsidRPr="00151E92" w:rsidRDefault="00151E92" w:rsidP="00D60FAD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151E92">
        <w:rPr>
          <w:rFonts w:ascii="Arial Narrow" w:eastAsia="Times New Roman" w:hAnsi="Arial Narrow" w:cs="Times New Roman"/>
          <w:kern w:val="0"/>
          <w:lang w:eastAsia="pl-PL" w:bidi="ar-SA"/>
        </w:rPr>
        <w:t>Instalacje wewnątrz układać w korytach teletechnicznych.</w:t>
      </w:r>
    </w:p>
    <w:p w:rsidR="00D60FAD" w:rsidRPr="00D60FAD" w:rsidRDefault="00D60FAD" w:rsidP="00D60FAD">
      <w:pPr>
        <w:jc w:val="both"/>
        <w:rPr>
          <w:rFonts w:ascii="Arial Narrow" w:hAnsi="Arial Narrow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Pytanie  8: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W przypadku tak dużego obiektu rozsądniej byłoby zaprojektowanie systemu opartego na centrali monitorowania opraw niż samych opraw autonomicznych z </w:t>
      </w:r>
      <w:proofErr w:type="spellStart"/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autotestem</w:t>
      </w:r>
      <w:proofErr w:type="spellEnd"/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. Czy Inwestor jest świadomy trudności związanych z przeprowadzeniem okresowych przeglądów i nadal chce pozostać przy tym rozwiązaniu?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Odp.</w:t>
      </w:r>
    </w:p>
    <w:p w:rsidR="00D60FAD" w:rsidRPr="00D60FAD" w:rsidRDefault="00D60FAD" w:rsidP="00D60FAD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Awaryjne oświetlenie ewakuacyjne zaprojektowano zgodnie z obowiązującymi przepisami oraz ustaleniami pomiędzy Zamawiającym a Wykonawcą projektu. Zaprojektowane oprawy są wyposażone w funkcję </w:t>
      </w:r>
      <w:proofErr w:type="spellStart"/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autotestu</w:t>
      </w:r>
      <w:proofErr w:type="spellEnd"/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, więc testy przeprowadzane są automatycznie. Przegląd okresowy polega na przeprowadzeniu identycznych czynności, wykazanych w normie, zarówno dla opraw z centralnym monitorowaniem jak i bez monitorowania.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Pytanie  9: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Czy trybuny nie stanowią strefy otwartej, podniesionego ryzyka i </w:t>
      </w:r>
      <w:proofErr w:type="spellStart"/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ośw</w:t>
      </w:r>
      <w:proofErr w:type="spellEnd"/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. awaryjne nad nimi nie powinno stanowić 10% </w:t>
      </w:r>
      <w:proofErr w:type="spellStart"/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ośw</w:t>
      </w:r>
      <w:proofErr w:type="spellEnd"/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. ogólnego trybun przewidzianego normą? Projekt przewiduje em=1lx w osi drogi ewakuacyjnej. 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Odp.</w:t>
      </w:r>
    </w:p>
    <w:p w:rsidR="00D60FAD" w:rsidRPr="00D60FAD" w:rsidRDefault="00D60FAD" w:rsidP="00D60FAD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Zgodnie z obowiązującymi przepisami trybuny nie są strefą wysokiego ryzyka. Dla trybun wyznaczono ciągi komunikacyjne, które oświetlane są wymaganym natężeniem oświetlenia.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Pytanie  10: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W pkt.</w:t>
      </w: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2.1 Wykonanie instalacji</w:t>
      </w: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 są zapisy: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i/>
          <w:kern w:val="0"/>
          <w:lang w:eastAsia="pl-PL" w:bidi="ar-SA"/>
        </w:rPr>
        <w:t>„Nowe obwody podłączyć do istniejących rozdzielnic elektrycznych oznaczonych na rzutach jako RO -1, RO-2, RO-3, RO-4 oraz rozdzielnica w sterowni RS”.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Na rysunkach nie pokazano, które lampy mają być podłączone do których rozdzielni i czy są w nich wolne miejsca.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i/>
          <w:kern w:val="0"/>
          <w:lang w:eastAsia="pl-PL" w:bidi="ar-SA"/>
        </w:rPr>
        <w:t>„ W miejscach pokrywania się nowej lokalizacji nowej oprawy z istniejącą dopuszcza się podłączenie pod dotychczasowe zasilanie”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Czy nie należy przyjąć układania nowych przewodów? w takim razie jaki przyjęto procent przewodów do wykorzystania w kosztorysie?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Odp.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Istniejące oprawy oświetlenia awaryjnego podlegają likwidacji. W miejscach istniejących opraw świadomie zostały zaprojektowane nowe oprawy, aby ograniczyć ilość nowego </w:t>
      </w:r>
      <w:proofErr w:type="spellStart"/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oprzewodowania</w:t>
      </w:r>
      <w:proofErr w:type="spellEnd"/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. Do nowych lokalizacji opraw należy wykonać nowe </w:t>
      </w:r>
      <w:proofErr w:type="spellStart"/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oprzewodowanie</w:t>
      </w:r>
      <w:proofErr w:type="spellEnd"/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, którego ilość przedstawiona została w kosztorysie.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Istniejących rozdzielnic elektrycznych nie należy rozbudowywać, a jedynie do istniejących zabezpieczeń oświetlenia podstawowego dołączyć obwody zasilające nowe oprawy.</w:t>
      </w:r>
    </w:p>
    <w:p w:rsidR="00D60FAD" w:rsidRPr="00D60FAD" w:rsidRDefault="00D60FAD" w:rsidP="00D60FAD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Zamawiający posiada dokumentację istniejącej instalacji elektrycznej wraz ze schematami rozdzielnic. Dokumentacja zostanie udostępniona Wykonawcy.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Pytanie  11: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W </w:t>
      </w: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pkt.2 Zasady rozmieszczenia opraw</w:t>
      </w: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 jest zapis, że oprawy należy umieszczać: </w:t>
      </w:r>
      <w:r w:rsidRPr="00D60FAD">
        <w:rPr>
          <w:rFonts w:ascii="Arial Narrow" w:eastAsia="Times New Roman" w:hAnsi="Arial Narrow" w:cs="Times New Roman"/>
          <w:i/>
          <w:kern w:val="0"/>
          <w:lang w:eastAsia="pl-PL" w:bidi="ar-SA"/>
        </w:rPr>
        <w:t>„ w pobliżu schodów, tak aby każdy stopień był oświetlony bezpośrednio”</w:t>
      </w: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 oraz „</w:t>
      </w:r>
      <w:r w:rsidRPr="00D60FAD">
        <w:rPr>
          <w:rFonts w:ascii="Arial Narrow" w:eastAsia="Times New Roman" w:hAnsi="Arial Narrow" w:cs="Times New Roman"/>
          <w:i/>
          <w:kern w:val="0"/>
          <w:lang w:eastAsia="pl-PL" w:bidi="ar-SA"/>
        </w:rPr>
        <w:t>w pobliżu każdej zmiany poziomu”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W wizualizacji (strona nr 9 obliczeń) ewidentnie brakuje punktów doświetlenia schodów na każdej zmianie poziomu.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Odp.</w:t>
      </w:r>
    </w:p>
    <w:p w:rsidR="00D60FAD" w:rsidRPr="00D60FAD" w:rsidRDefault="00D60FAD" w:rsidP="00D60FAD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Na stronie 9 projektu awaryjnego oświetlenia ewakuacyjnego przedstawiony został rzut trybun. Rozwinięciem tego rzutu są kolejne strony projektu (10, 11, 12, 13), na których przedstawione zostały </w:t>
      </w: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lastRenderedPageBreak/>
        <w:t>bardzo szczegółowe wartości natężenia oświetlenia zarówno dla trybun jak i wspomnianych w pytaniu schodów. Analizując wyniki natężenia oświetlenia dla schodów można zauważyć, że minimalne średnie natężenie wynosi 2,03lx, a więc więcej niż przewidują przepisy.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Pytanie  12: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Czy w przypadku takiego obiektu sportowego (mogącego pomieścić prawie 4000 osób) nie rozsądniej byłoby zastosować oprawy z  podtrzymaniem 3godz. niż 1godz.? Szczególnie biorąc pod uwagę zdarzenia z meczu koszykówki </w:t>
      </w:r>
      <w:proofErr w:type="spellStart"/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Anwilu</w:t>
      </w:r>
      <w:proofErr w:type="spellEnd"/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 Włocławek z Polskim Cukrem Toruń w 2019 r. gdzie w wyniku awarii hala była pozbawiona prądu na ponad godzinę.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Odp.</w:t>
      </w:r>
    </w:p>
    <w:p w:rsidR="00D60FAD" w:rsidRPr="00D60FAD" w:rsidRDefault="00D60FAD" w:rsidP="00D60FAD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Awaryjne oświetlenie ewakuacyjne zaprojektowane zostało zgodnie z obowiązującymi przepisami uwzględniając przewidywany czas ewakuacji osób z obiektu.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Pytanie  13: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W pkt.3. Uwagi końcowe</w:t>
      </w: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 jest zapis </w:t>
      </w:r>
      <w:r w:rsidRPr="00D60FAD">
        <w:rPr>
          <w:rFonts w:ascii="Arial Narrow" w:eastAsia="Times New Roman" w:hAnsi="Arial Narrow" w:cs="Times New Roman"/>
          <w:i/>
          <w:kern w:val="0"/>
          <w:lang w:eastAsia="pl-PL" w:bidi="ar-SA"/>
        </w:rPr>
        <w:t>„Wykonawca jest zobowiązany do zrealizowania wszystkich brakujących i pominiętych w niniejszym opracowaniu elementów instalacji wraz z dostarczeniem koniecznych materiałów i urządzeń dla kompletnego wykonania instalacji elektrycznych wewnętrznych i zapewnienia jej pełnej funkcjonalności”.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Taki zapis jest nie do przyjęcia, gdyż zwalnia projektanta z odpowiedzialności za projekt, a całość odpowiedzialności za kompletną instalację obarcza wykonawcę. Umowa nie daje możliwości zakresu robót o dodatkowo zamontowane urządzenia i zwiększony zakres robót. Dlatego też dokumentacja winna być kompletna, a kosztorys uwzględniać wszystkie urządzenia i roboty.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Odp.</w:t>
      </w:r>
    </w:p>
    <w:p w:rsidR="00D60FAD" w:rsidRPr="00D60FAD" w:rsidRDefault="00D60FAD" w:rsidP="00D60FAD">
      <w:pPr>
        <w:widowControl/>
        <w:suppressAutoHyphens w:val="0"/>
        <w:spacing w:after="12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Cytowany zapis nie zwalnia projektanta z odpowiedzialności za projekt. Projekt przewiduje montaż urządzeń i wykonanie prac niezbędnych do prawidłowego wykonania zadania. Zadaniem Wykonawcy jest wykonanie kompletnej instalacji awaryjnego oświetlenia ewakuacyjnego wraz z dostarczeniem niezbędnych materiałów oraz wykonaniem stosownych pomiarów. Prace należy wykonać zgodnie z obowiązującymi przepisami.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Pytanie  14: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W kosztorysie:</w:t>
      </w:r>
    </w:p>
    <w:p w:rsidR="00D60FAD" w:rsidRPr="00D60FAD" w:rsidRDefault="00D60FAD" w:rsidP="00D60FAD">
      <w:pPr>
        <w:widowControl/>
        <w:numPr>
          <w:ilvl w:val="0"/>
          <w:numId w:val="6"/>
        </w:numPr>
        <w:suppressAutoHyphens w:val="0"/>
        <w:jc w:val="both"/>
        <w:rPr>
          <w:rFonts w:ascii="Arial Narrow" w:eastAsia="Times New Roman" w:hAnsi="Arial Narrow" w:cs="Times New Roman"/>
          <w:i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poz. 1</w:t>
      </w: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 xml:space="preserve"> „</w:t>
      </w:r>
      <w:r w:rsidRPr="00D60FAD">
        <w:rPr>
          <w:rFonts w:ascii="Arial Narrow" w:eastAsia="Times New Roman" w:hAnsi="Arial Narrow" w:cs="Times New Roman"/>
          <w:i/>
          <w:kern w:val="0"/>
          <w:lang w:eastAsia="pl-PL" w:bidi="ar-SA"/>
        </w:rPr>
        <w:t>Demontaż istniejących opraw awaryjnego oświetlenia oraz usunięcie modułów awaryjnych z opraw dwuzadaniowych-1kpl.”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i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Proszę o podanie ile i jakie urządzenia są zamontowane i na jakich wysokościach. Jest to kluczowe do prawidłowego sporządzenia wyceny w tym zakresie.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b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b/>
          <w:kern w:val="0"/>
          <w:lang w:eastAsia="pl-PL" w:bidi="ar-SA"/>
        </w:rPr>
        <w:t>Odp.</w:t>
      </w:r>
    </w:p>
    <w:p w:rsidR="00D60FAD" w:rsidRPr="00D60FAD" w:rsidRDefault="00D60FAD" w:rsidP="00D60FAD">
      <w:pPr>
        <w:widowControl/>
        <w:suppressAutoHyphens w:val="0"/>
        <w:jc w:val="both"/>
        <w:rPr>
          <w:rFonts w:ascii="Arial Narrow" w:eastAsia="Times New Roman" w:hAnsi="Arial Narrow" w:cs="Times New Roman"/>
          <w:kern w:val="0"/>
          <w:lang w:eastAsia="pl-PL" w:bidi="ar-SA"/>
        </w:rPr>
      </w:pPr>
      <w:r w:rsidRPr="00D60FAD">
        <w:rPr>
          <w:rFonts w:ascii="Arial Narrow" w:eastAsia="Times New Roman" w:hAnsi="Arial Narrow" w:cs="Times New Roman"/>
          <w:kern w:val="0"/>
          <w:lang w:eastAsia="pl-PL" w:bidi="ar-SA"/>
        </w:rPr>
        <w:t>Dołączono rzuty inwentaryzacji.</w:t>
      </w:r>
    </w:p>
    <w:p w:rsidR="00D60FAD" w:rsidRDefault="00D60FAD" w:rsidP="001526F5">
      <w:pPr>
        <w:jc w:val="both"/>
        <w:rPr>
          <w:rFonts w:ascii="Arial Narrow" w:hAnsi="Arial Narrow"/>
          <w:b/>
        </w:rPr>
      </w:pPr>
    </w:p>
    <w:p w:rsidR="0036292C" w:rsidRPr="00151E92" w:rsidRDefault="0036292C" w:rsidP="001526F5">
      <w:pPr>
        <w:jc w:val="both"/>
        <w:rPr>
          <w:rFonts w:ascii="Arial Narrow" w:hAnsi="Arial Narrow"/>
          <w:b/>
        </w:rPr>
      </w:pPr>
      <w:r w:rsidRPr="00151E92">
        <w:rPr>
          <w:rFonts w:ascii="Arial Narrow" w:hAnsi="Arial Narrow"/>
          <w:b/>
        </w:rPr>
        <w:t>Pozostałe zapisy SWZ pozostają bez zmian.</w:t>
      </w:r>
    </w:p>
    <w:p w:rsidR="00C05CC3" w:rsidRPr="00151E92" w:rsidRDefault="00C05CC3" w:rsidP="001526F5">
      <w:pPr>
        <w:jc w:val="both"/>
        <w:rPr>
          <w:rFonts w:ascii="Arial Narrow" w:hAnsi="Arial Narrow"/>
          <w:b/>
        </w:rPr>
      </w:pPr>
    </w:p>
    <w:p w:rsidR="00C05CC3" w:rsidRPr="00151E92" w:rsidRDefault="00C05CC3" w:rsidP="00C05CC3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</w:pP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="0028221D"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>Dyrektor</w:t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 xml:space="preserve"> </w:t>
      </w:r>
      <w:r w:rsidR="0028221D"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>OSiR</w:t>
      </w:r>
    </w:p>
    <w:p w:rsidR="00C05CC3" w:rsidRPr="00151E92" w:rsidRDefault="00C05CC3" w:rsidP="00C05CC3">
      <w:pPr>
        <w:widowControl/>
        <w:tabs>
          <w:tab w:val="left" w:pos="-2520"/>
          <w:tab w:val="left" w:pos="-2340"/>
          <w:tab w:val="left" w:leader="dot" w:pos="-2160"/>
        </w:tabs>
        <w:spacing w:after="120"/>
        <w:jc w:val="both"/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</w:pP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ab/>
      </w:r>
      <w:r w:rsidR="0028221D" w:rsidRPr="00151E92">
        <w:rPr>
          <w:rFonts w:ascii="Arial Narrow" w:eastAsia="Times New Roman" w:hAnsi="Arial Narrow" w:cs="Times New Roman"/>
          <w:b/>
          <w:bCs/>
          <w:i/>
          <w:kern w:val="0"/>
          <w:lang w:eastAsia="ar-SA" w:bidi="ar-SA"/>
        </w:rPr>
        <w:t>Piotr Ordon</w:t>
      </w:r>
    </w:p>
    <w:p w:rsidR="00C05CC3" w:rsidRDefault="00C05CC3" w:rsidP="001526F5">
      <w:pPr>
        <w:jc w:val="both"/>
        <w:rPr>
          <w:rFonts w:ascii="Arial Narrow" w:hAnsi="Arial Narrow"/>
          <w:b/>
        </w:rPr>
      </w:pPr>
    </w:p>
    <w:p w:rsidR="00D60FAD" w:rsidRPr="00151E92" w:rsidRDefault="00D60FAD" w:rsidP="001526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Załączniki, zgodnie z wyjaśnieniami </w:t>
      </w:r>
    </w:p>
    <w:sectPr w:rsidR="00D60FAD" w:rsidRPr="00151E9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C20" w:rsidRDefault="00075C20" w:rsidP="00C326E4">
      <w:r>
        <w:separator/>
      </w:r>
    </w:p>
  </w:endnote>
  <w:endnote w:type="continuationSeparator" w:id="0">
    <w:p w:rsidR="00075C20" w:rsidRDefault="00075C20" w:rsidP="00C3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97141"/>
      <w:docPartObj>
        <w:docPartGallery w:val="Page Numbers (Bottom of Page)"/>
        <w:docPartUnique/>
      </w:docPartObj>
    </w:sdtPr>
    <w:sdtEndPr/>
    <w:sdtContent>
      <w:p w:rsidR="00C326E4" w:rsidRDefault="00C326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D93">
          <w:rPr>
            <w:noProof/>
          </w:rPr>
          <w:t>5</w:t>
        </w:r>
        <w:r>
          <w:fldChar w:fldCharType="end"/>
        </w:r>
      </w:p>
    </w:sdtContent>
  </w:sdt>
  <w:p w:rsidR="00C326E4" w:rsidRDefault="00C326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C20" w:rsidRDefault="00075C20" w:rsidP="00C326E4">
      <w:r>
        <w:separator/>
      </w:r>
    </w:p>
  </w:footnote>
  <w:footnote w:type="continuationSeparator" w:id="0">
    <w:p w:rsidR="00075C20" w:rsidRDefault="00075C20" w:rsidP="00C3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23E4"/>
    <w:multiLevelType w:val="hybridMultilevel"/>
    <w:tmpl w:val="310AD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91E50"/>
    <w:multiLevelType w:val="hybridMultilevel"/>
    <w:tmpl w:val="8870A56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03465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3A3E0B53"/>
    <w:multiLevelType w:val="hybridMultilevel"/>
    <w:tmpl w:val="28B62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D1AFA"/>
    <w:multiLevelType w:val="hybridMultilevel"/>
    <w:tmpl w:val="3F06356A"/>
    <w:lvl w:ilvl="0" w:tplc="F30CB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751AC"/>
    <w:multiLevelType w:val="hybridMultilevel"/>
    <w:tmpl w:val="AF107AC8"/>
    <w:lvl w:ilvl="0" w:tplc="E2CAF3F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DB"/>
    <w:rsid w:val="00075C20"/>
    <w:rsid w:val="0009573C"/>
    <w:rsid w:val="000E0074"/>
    <w:rsid w:val="00101D08"/>
    <w:rsid w:val="00104B46"/>
    <w:rsid w:val="00151E92"/>
    <w:rsid w:val="001526F5"/>
    <w:rsid w:val="001A3E24"/>
    <w:rsid w:val="0028221D"/>
    <w:rsid w:val="00283F88"/>
    <w:rsid w:val="002A67FB"/>
    <w:rsid w:val="0036292C"/>
    <w:rsid w:val="004D41E4"/>
    <w:rsid w:val="004F2BFC"/>
    <w:rsid w:val="007A335E"/>
    <w:rsid w:val="007B7D93"/>
    <w:rsid w:val="00866852"/>
    <w:rsid w:val="00960B0E"/>
    <w:rsid w:val="009A6F3B"/>
    <w:rsid w:val="00BD2BE9"/>
    <w:rsid w:val="00BD2F8A"/>
    <w:rsid w:val="00BE2D42"/>
    <w:rsid w:val="00C05CC3"/>
    <w:rsid w:val="00C326E4"/>
    <w:rsid w:val="00C663CB"/>
    <w:rsid w:val="00D132A3"/>
    <w:rsid w:val="00D52C97"/>
    <w:rsid w:val="00D60FAD"/>
    <w:rsid w:val="00E00101"/>
    <w:rsid w:val="00EF3BDB"/>
    <w:rsid w:val="00F458E5"/>
    <w:rsid w:val="00FC5B96"/>
    <w:rsid w:val="00FC7033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3C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lowny">
    <w:name w:val="glowny"/>
    <w:basedOn w:val="Stopka"/>
    <w:next w:val="Stopka"/>
    <w:rsid w:val="00C663CB"/>
    <w:pPr>
      <w:widowControl/>
      <w:tabs>
        <w:tab w:val="clear" w:pos="4536"/>
        <w:tab w:val="clear" w:pos="9072"/>
      </w:tabs>
      <w:spacing w:line="258" w:lineRule="atLeast"/>
      <w:jc w:val="both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C663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663C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00101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326E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326E4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3CB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lowny">
    <w:name w:val="glowny"/>
    <w:basedOn w:val="Stopka"/>
    <w:next w:val="Stopka"/>
    <w:rsid w:val="00C663CB"/>
    <w:pPr>
      <w:widowControl/>
      <w:tabs>
        <w:tab w:val="clear" w:pos="4536"/>
        <w:tab w:val="clear" w:pos="9072"/>
      </w:tabs>
      <w:spacing w:line="258" w:lineRule="atLeast"/>
      <w:jc w:val="both"/>
    </w:pPr>
    <w:rPr>
      <w:rFonts w:ascii="FrankfurtGothic" w:eastAsia="Times New Roman" w:hAnsi="FrankfurtGothic" w:cs="FrankfurtGothic"/>
      <w:color w:val="000000"/>
      <w:kern w:val="0"/>
      <w:sz w:val="19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C663C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663C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00101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326E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326E4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Administracja</cp:lastModifiedBy>
  <cp:revision>2</cp:revision>
  <dcterms:created xsi:type="dcterms:W3CDTF">2021-05-21T12:12:00Z</dcterms:created>
  <dcterms:modified xsi:type="dcterms:W3CDTF">2021-05-21T12:12:00Z</dcterms:modified>
</cp:coreProperties>
</file>